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6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580"/>
        <w:gridCol w:w="4049"/>
        <w:gridCol w:w="1155"/>
        <w:gridCol w:w="1155"/>
        <w:gridCol w:w="721"/>
        <w:gridCol w:w="1012"/>
        <w:gridCol w:w="102"/>
        <w:gridCol w:w="909"/>
        <w:gridCol w:w="246"/>
        <w:gridCol w:w="476"/>
        <w:gridCol w:w="679"/>
        <w:gridCol w:w="332"/>
        <w:gridCol w:w="389"/>
        <w:gridCol w:w="766"/>
        <w:gridCol w:w="246"/>
        <w:gridCol w:w="1011"/>
        <w:gridCol w:w="44"/>
        <w:gridCol w:w="678"/>
        <w:gridCol w:w="745"/>
        <w:gridCol w:w="3557"/>
        <w:gridCol w:w="588"/>
      </w:tblGrid>
      <w:tr w:rsidR="00E76FCD" w:rsidTr="00157B0C">
        <w:trPr>
          <w:trHeight w:val="80"/>
        </w:trPr>
        <w:tc>
          <w:tcPr>
            <w:tcW w:w="724" w:type="dxa"/>
            <w:noWrap/>
            <w:hideMark/>
          </w:tcPr>
          <w:p w:rsidR="00E76FCD" w:rsidRDefault="00E76FC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hideMark/>
          </w:tcPr>
          <w:p w:rsidR="00E76FCD" w:rsidRDefault="00E76FC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94" w:type="dxa"/>
            <w:gridSpan w:val="6"/>
            <w:noWrap/>
            <w:hideMark/>
          </w:tcPr>
          <w:p w:rsidR="006A3950" w:rsidRPr="000F153E" w:rsidRDefault="006A3950" w:rsidP="003B3C79">
            <w:pPr>
              <w:spacing w:line="276" w:lineRule="auto"/>
              <w:ind w:right="-1239"/>
              <w:rPr>
                <w:rFonts w:ascii="Arial" w:hAnsi="Arial" w:cs="Arial"/>
                <w:b/>
                <w:sz w:val="16"/>
                <w:szCs w:val="16"/>
              </w:rPr>
            </w:pPr>
            <w:r w:rsidRPr="000F153E">
              <w:rPr>
                <w:rFonts w:ascii="Arial" w:hAnsi="Arial" w:cs="Arial"/>
                <w:b/>
                <w:sz w:val="18"/>
                <w:szCs w:val="18"/>
              </w:rPr>
              <w:t xml:space="preserve">Załącznik nr 2.1 </w:t>
            </w:r>
            <w:r w:rsidR="000F153E" w:rsidRPr="000F153E">
              <w:rPr>
                <w:rFonts w:ascii="Arial" w:hAnsi="Arial" w:cs="Arial"/>
                <w:sz w:val="16"/>
                <w:szCs w:val="16"/>
              </w:rPr>
              <w:t>do specyfikacji istotnych warunków zamówienia</w:t>
            </w:r>
          </w:p>
          <w:p w:rsidR="00356D78" w:rsidRDefault="006A3950" w:rsidP="003B3C79">
            <w:pPr>
              <w:spacing w:line="276" w:lineRule="auto"/>
              <w:ind w:right="-1239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3B3C79">
              <w:rPr>
                <w:rFonts w:ascii="Arial" w:hAnsi="Arial" w:cs="Arial"/>
                <w:b/>
                <w:i/>
                <w:sz w:val="18"/>
                <w:szCs w:val="18"/>
              </w:rPr>
              <w:t>dla</w:t>
            </w:r>
            <w:proofErr w:type="gramEnd"/>
            <w:r w:rsidRPr="003B3C7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części 1</w:t>
            </w:r>
            <w:r w:rsidRPr="003B3C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zamówienia </w:t>
            </w:r>
            <w:r w:rsidR="005D5F67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wykaz </w:t>
            </w:r>
            <w:r w:rsidRPr="003B3C79">
              <w:rPr>
                <w:rFonts w:ascii="Arial" w:hAnsi="Arial" w:cs="Arial"/>
                <w:b/>
                <w:sz w:val="18"/>
                <w:szCs w:val="18"/>
              </w:rPr>
              <w:t>sprzęt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B3C79">
              <w:rPr>
                <w:rFonts w:ascii="Arial" w:hAnsi="Arial" w:cs="Arial"/>
                <w:b/>
                <w:sz w:val="18"/>
                <w:szCs w:val="18"/>
              </w:rPr>
              <w:t xml:space="preserve"> medyczny jednorazowego użytku</w:t>
            </w:r>
          </w:p>
          <w:p w:rsidR="00E76FCD" w:rsidRPr="006A3950" w:rsidRDefault="002B4755" w:rsidP="00556330">
            <w:pPr>
              <w:spacing w:line="276" w:lineRule="auto"/>
              <w:ind w:right="-1239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FORMULARZ ASORTYMENTOWO-CENOWY</w:t>
            </w:r>
          </w:p>
        </w:tc>
        <w:tc>
          <w:tcPr>
            <w:tcW w:w="1155" w:type="dxa"/>
            <w:gridSpan w:val="2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gridSpan w:val="2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gridSpan w:val="2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02" w:type="dxa"/>
            <w:gridSpan w:val="2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7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Grupa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Nazwa sprzętu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Rozmiar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% WAT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Wartość podatku VAT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3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Producent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br/>
              <w:t>/nazw handlowa producenta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Numer katalogowy producenta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CD5B4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</w:tr>
      <w:tr w:rsidR="00E76FCD" w:rsidTr="00157B0C">
        <w:trPr>
          <w:gridAfter w:val="2"/>
          <w:wAfter w:w="4145" w:type="dxa"/>
          <w:trHeight w:val="824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Cewnik do odsysania górnych dróg oddechowych, wykonany z PCV, powierzchnia zmrożona, jeden otwór centralny i dwa otwory boczne naprzeciwległe, sterylizowany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EO  (opis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pozycja 1-8)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68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7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8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74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6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3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odsysania górnych dróg oddechowych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7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II.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intubacyjna bez mankietu (poz. 9 -12) i z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mankietem  niskociśnieniowym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poz. (13 -25),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silikonowana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, linia RTG na całej długości rurki, jałowa, jednorazowego użytku.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bez mankietu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intubacyjna z mankietem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7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III.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ustno-gardłowa wykonana z medycznego PCV lub PE, barwny kod wkładek, gładko zaokrąglone krawędzie, blokada przeciw zagryzieniu, jałowa, jednorazowego użytku (opis pozycje 26-33)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ustno - gardłowa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56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IV.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Cewnik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Foleya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silikonowany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, lateksowa zastawka, pakowany podwójnie, sterylizowany EO (opis pozycje 34-44)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35.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36.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37.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38.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39.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41.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42.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43.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44.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FOLEYA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45.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46.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47.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Rurka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tracheostomijna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9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VI.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jednorazowa, dwuczęściowa, jałowa, kolorystycznie zabarwiony tłok nie posiadający lateksu i silikonu, czarna, czytelna, niezmywalna, rozszerzona skala, zabezpieczenie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tłoka  przed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wypadnięciem, nazwa producenta na strzykawce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(opis pozycje 48 – 52)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8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48.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 ml.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350op.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49.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 ml.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Op.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 ml.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Op.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6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51.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jednorazowa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 ml.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Op.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52.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Strzykawka  Janet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 ml.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14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VII.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Kaniula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dożylna  wykonana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z poliuretanu, posiada min 4 paski kontrastujące w RTG, dodatkowy port do wstrzyknięć oraz hydrofobową membranę zapobiegającą cofaniu się krwi, nie posiada bocznych prowadnic ograniczających manewrowanie kaniulą podczas wkłuwania się do naczynia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(opis pozycje 53 )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53.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Kaniula neonatologiczna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54.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Kaniula dożylna bezpieczna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22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G , 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przepływ 36 ml/min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Kaniula dożylna bezpieczna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17G, przepływ 142ml/min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Kaniula dożylna bezpieczna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, wykonana z poliuretanu, posiada min 3 paski kontrastujące w RTG, dodatkowy port do wstrzyknięć, z filtrem hydrofobowym,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lastRenderedPageBreak/>
              <w:t>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16G, przepływ 200ml/min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8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57.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Kaniula dożylna bezpieczna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18G, przepływ 95ml/min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5500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84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58.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Kaniula dożylna bezpieczna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, wykonana z poliuretanu, posiada min 3 paski kontrastujące w RTG, dodatkowy port do wstrzyknięć, z filtrem hydrofobowym, posiadająca automatyczne zabezpieczenie końca igły w postaci zatrzasku aktywowanego po wyjęciu igły z cewnika. Nazwa producenta bezpośrednio na kaniuli, sterylizowana EO.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20G, przepływ 65ml/min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6500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6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VIII.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iniekcyjna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j.u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. Nasadka oraz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opakowanie   jednostkowe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barwnie oznaczone zgodnie z     kodem kolorów ISO 6009 (opis pozycje 59-63)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X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iniekcyjna jednorazowa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0,6/30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60.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iniekcyjna jednorazowa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0,7/30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61.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iniekcyjna jednorazowa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0,8/40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. 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62.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iniekcyjna jednorazowa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0,9/40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. 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63.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iniekcyjna jednorazowa        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1,2/40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. 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IX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Bezpieczna igła do iniekcji ze zintegrowaną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osłonka która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skutecznie i nieodwracalnie zamyka się na igłę po użyciu, możliwość obsługi jedną ręką.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354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64.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Igła bezpieczna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0,8/40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(50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 op.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X.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Maska oddechowa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65.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Maska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Venturiego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dla dorosłych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35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66.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Maska oddechowa z nebulizatorem dla dorosłych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7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67.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Maska oddechowa z nebulizatorem dla dzieci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6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68.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Maska oddechowa z rezerwuarem dla dorosłych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30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69.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Maska oddechowa z rezerwuarem dla dzieci</w:t>
            </w:r>
          </w:p>
        </w:tc>
        <w:tc>
          <w:tcPr>
            <w:tcW w:w="1155" w:type="dxa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XI.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Aparat do przetaczania płynów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1542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Aparat do przetaczania płynów z elastyczną komorą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kroplową,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wolny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od toksycznych ftalanów (wymagane dołączenie do oferty oświadczenia producenta o braku toksycznych ftalanów, oraz Karty charakterystyki bezpieczeństwa produktu chemicznego, z którego zostały wykonane przyrządy), sterylizowany EO, opakowanie przyrządu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blister-pack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(folia-papier).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5500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333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Aparat do szybkiego przetaczania płynów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437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72.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Kateter     -     dren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medyczny     do odsysania z końcówka prostą w postaci zestawu składającego się końcówki do odsysania 8mm, długość drenu 210 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304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73.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podawania tlenu przez nos dla dorosłych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304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74.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podawania tlenu przez nos dla dzieci.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04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Cewnik do podawania tlenu przez nos neonatologiczny.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XII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Filtr sterylny, elektrostatyczny do respiratora dla noworodków z wymiennikiem ciepła i wilgoci.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  <w:t>(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poz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.76-78)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3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76.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Filtry oddechowe do respiratora dla noworodków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7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Filtry oddechowe do respiratora dla dzieci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6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Filtry oddechowe do respiratora dla dorosłych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79.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2,0 lub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2,2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80.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3,0 lub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3,3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81.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4,0 lub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4.7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82.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Prowadnica do rurek intubacyjnych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32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83.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Ratunkowy zestaw do konikotomii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Quick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Trach dla dorosłych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84.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Ratunkowy zestaw do konikotomii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Quick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Trach dla dzieci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10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XIII.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Pojemnik na zużyte igły i odpady medyczne z polipropylenu. Konstrukcja wieczka umożliwia dwustronne zamykanie. Pojemnik odporny na przekłucia. Pojemnik z etykietą do widocznego opisu. Posiada atest PZH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poz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 85- 87)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Pojemnik na zużyte igły 10 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86.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Pojemnik na zużyte igły 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87.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Pojemnik na zużyte igły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0,7l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płaski.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6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jednorazowa  50ml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do pompy infuzyjnej biała (mająca zastosowanie w pompie firmy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Medima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Kwapisz,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Ascor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Iniektomat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duo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Agilia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50ml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69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jednorazowa  50ml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do pompy infuzyjnej  czarna lub bursztynowa (mająca zastosowanie w pompie firmy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Medima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Kwapisz,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Ascor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Iniektomat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duo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Agilia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50ml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63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Strzykawka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jednorazowa  20 ml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do pompy infuzyjnej biała (mająca zastosowanie w pompie firmy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Medima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Kwapisz,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Ascor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Iniektomat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duo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Agilia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 ml.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Przedłużacz do pompy infuzyjnej biały lub przezroczysty długość od 150 cm do 200 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dł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 200cm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496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95.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Przedłużacz do pompy infuzyjnej czarny lub bursztynowy długość od 150 cm do 200 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dł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 200cm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96.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Zestaw do wkłucia centralnego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jedoświatłowy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16 G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dł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15cm, igła V, jałowy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j.u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16G,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57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97.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Zgłębnik żołądkowy.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8; 10; 12; 14; 16;20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po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10 sztuk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Każdego rozmiaru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60 sztuk razem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5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98.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Maska krtaniowa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1,2, 3,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po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10 sztuk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Każdego rozmiaru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 sztuk razem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99.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Maska krtaniowa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4, 5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po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20 sztuk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Każdego rozmiaru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</w:t>
            </w:r>
          </w:p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razem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Szpatułki drewniane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. 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(100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 op.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Worki do dobowej zbiórki moczu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102.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Łącznik   do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 rurek   intubacyjnych   -Kominek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6FCD" w:rsidRDefault="00E76FCD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103.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Kranik trójdrożny z przewodem 25cm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104.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Kranik trójdrożny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105.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Koc Ratunkowy srebrno-złoty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106.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Worki do wymiocin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23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107.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Penseta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jałowa jednorazowego użytku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42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Stabilizator do rurek intubacyjnych dokręcany śrubką, stabilizowany rzepami dla dzieci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Stabilizator do rurek intubacyjnych dokręcany śrubką, stabilizowany rzepami dla dorosłych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Folia lub worek do przykrycia zwłok -nieprzezroczysta gruba.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Zestaw położniczy jednorazowego użytku zawierający: podkład chłonny, podkład papierowy, sterylne rękawiczki, gruszkę, cztery zaciski pępowinowe, gaziki sterylne, nożyczki, opaskę identyfikującą dla noworodków, kocyk dla noworodka,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piluchę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dla noworodka,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podpaskię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higieniczną, torbę foliową na łożysko.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opak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E76FCD" w:rsidTr="00157B0C">
        <w:trPr>
          <w:gridAfter w:val="2"/>
          <w:wAfter w:w="4145" w:type="dxa"/>
          <w:trHeight w:val="30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112.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Zestaw do drenażu opłucnej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84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113.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Basen jednorazowego użytku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9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114.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Kaczka jednorazowego użytku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115.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do wkłucia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doszpikowego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automat dla dzieci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43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116.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Igła do wkłucia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doszpikowego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automat dla dorosłych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0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117.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krtaniowa LT-D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0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118.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krtaniowa LT-D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0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119.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krtaniowa LT-D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6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120.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krtaniowa LT-D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krtaniowa LT-D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3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122.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123.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1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124.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125.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6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126.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127.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128.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Rurka nosowo-gardłowa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129.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Prześcieradło z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fizeliny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(włókniny)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 x150</w:t>
            </w:r>
          </w:p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2"/>
                <w:szCs w:val="12"/>
                <w:lang w:eastAsia="en-US"/>
              </w:rPr>
            </w:pPr>
            <w:r>
              <w:rPr>
                <w:rFonts w:ascii="Tahoma" w:hAnsi="Tahoma" w:cs="Tahoma"/>
                <w:sz w:val="12"/>
                <w:szCs w:val="12"/>
                <w:lang w:eastAsia="en-US"/>
              </w:rPr>
              <w:t>+/- 10 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130.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Prześcieradło z włókniny foliowanej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200X 150</w:t>
            </w:r>
          </w:p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2"/>
                <w:szCs w:val="12"/>
                <w:lang w:eastAsia="en-US"/>
              </w:rPr>
            </w:pPr>
            <w:r>
              <w:rPr>
                <w:rFonts w:ascii="Tahoma" w:hAnsi="Tahoma" w:cs="Tahoma"/>
                <w:sz w:val="12"/>
                <w:szCs w:val="12"/>
                <w:lang w:eastAsia="en-US"/>
              </w:rPr>
              <w:t>+/- 10 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131.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Pościel jednorazowa z włókniny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komplet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132.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Maska chirurgiczna wiązana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po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50 szt.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133.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Serweta sterylna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50cm x 50cm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134.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Worki na odpady medyczne czerwone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50 cm x 60 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 po 50 sztuk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100 op.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135.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Worki na odpady medyczne czerwone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60 cm x 90 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 po 50 sztuk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100 op.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136.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Worki na odpady medyczne czerwone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70 cm x 100 cm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op</w:t>
            </w:r>
            <w:proofErr w:type="gram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. po 50 sztuk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80 op.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11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137.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Wkłady jednorazowe workowe do ssaka(GREEN)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sztuka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30sztuk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6FCD" w:rsidTr="00157B0C">
        <w:trPr>
          <w:gridAfter w:val="2"/>
          <w:wAfter w:w="4145" w:type="dxa"/>
          <w:trHeight w:val="330"/>
        </w:trPr>
        <w:tc>
          <w:tcPr>
            <w:tcW w:w="8384" w:type="dxa"/>
            <w:gridSpan w:val="6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Łączna wartość zamówienia netto / brutto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  <w:t>x</w:t>
            </w:r>
            <w:proofErr w:type="gramEnd"/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vAlign w:val="center"/>
            <w:hideMark/>
          </w:tcPr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x</w:t>
            </w:r>
            <w:proofErr w:type="gramEnd"/>
          </w:p>
        </w:tc>
      </w:tr>
      <w:tr w:rsidR="00E76FCD" w:rsidTr="00157B0C">
        <w:trPr>
          <w:gridAfter w:val="2"/>
          <w:wAfter w:w="4145" w:type="dxa"/>
          <w:trHeight w:val="702"/>
        </w:trPr>
        <w:tc>
          <w:tcPr>
            <w:tcW w:w="16019" w:type="dxa"/>
            <w:gridSpan w:val="20"/>
            <w:noWrap/>
          </w:tcPr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E76FCD" w:rsidRDefault="00E76FCD">
            <w:pPr>
              <w:spacing w:line="27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………………………………, dnia ………………………… 2018 </w:t>
            </w:r>
            <w:proofErr w:type="gramStart"/>
            <w:r>
              <w:rPr>
                <w:rFonts w:ascii="Tahoma" w:hAnsi="Tahoma" w:cs="Tahoma"/>
                <w:lang w:eastAsia="en-US"/>
              </w:rPr>
              <w:t xml:space="preserve">r.                                                 </w:t>
            </w:r>
            <w:proofErr w:type="gramEnd"/>
            <w:r>
              <w:rPr>
                <w:rFonts w:ascii="Tahoma" w:hAnsi="Tahoma" w:cs="Tahoma"/>
                <w:lang w:eastAsia="en-US"/>
              </w:rPr>
              <w:t xml:space="preserve">                                                                            </w:t>
            </w: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E76FCD" w:rsidRDefault="00E76FCD">
            <w:pPr>
              <w:spacing w:line="276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…………………………….………………………………….</w:t>
            </w:r>
          </w:p>
          <w:p w:rsidR="00E76FCD" w:rsidRDefault="00E76FC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podpis osoby/osób uprawnionej/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en-US"/>
              </w:rPr>
              <w:t>uprawnionych  do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en-US"/>
              </w:rPr>
              <w:t xml:space="preserve"> składania 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en-US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oświadczeń woli w imieniu Wykonawcy i pieczątka</w:t>
            </w:r>
          </w:p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E76FCD" w:rsidRDefault="00E76FCD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76FCD" w:rsidRDefault="00E76FCD" w:rsidP="00E76FCD"/>
    <w:p w:rsidR="00713E4A" w:rsidRDefault="00713E4A">
      <w:bookmarkStart w:id="0" w:name="_GoBack"/>
      <w:bookmarkEnd w:id="0"/>
    </w:p>
    <w:sectPr w:rsidR="00713E4A" w:rsidSect="00356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6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2D" w:rsidRDefault="00CC682D" w:rsidP="003B3C79">
      <w:r>
        <w:separator/>
      </w:r>
    </w:p>
  </w:endnote>
  <w:endnote w:type="continuationSeparator" w:id="0">
    <w:p w:rsidR="00CC682D" w:rsidRDefault="00CC682D" w:rsidP="003B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C" w:rsidRDefault="00EA48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453"/>
      <w:docPartObj>
        <w:docPartGallery w:val="Page Numbers (Bottom of Page)"/>
        <w:docPartUnique/>
      </w:docPartObj>
    </w:sdtPr>
    <w:sdtContent>
      <w:p w:rsidR="003B3C79" w:rsidRDefault="001E0DEE" w:rsidP="003B3C79">
        <w:pPr>
          <w:pStyle w:val="Stopka"/>
          <w:jc w:val="right"/>
        </w:pPr>
        <w:r w:rsidRPr="001E0DEE">
          <w:rPr>
            <w:rFonts w:ascii="Tahoma" w:hAnsi="Tahoma" w:cs="Tahoma"/>
            <w:noProof/>
            <w:color w:val="0070C0"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8.45pt;margin-top:-11.8pt;width:714.25pt;height:.5pt;flip:y;z-index:251661312;mso-position-horizontal-relative:text;mso-position-vertical-relative:text" o:connectortype="straight"/>
          </w:pict>
        </w:r>
        <w:r w:rsidR="003B3C79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3B3C79" w:rsidRPr="00FE17F7">
          <w:rPr>
            <w:rFonts w:ascii="Tahoma" w:hAnsi="Tahoma" w:cs="Tahoma"/>
            <w:color w:val="0070C0"/>
            <w:sz w:val="16"/>
            <w:szCs w:val="16"/>
          </w:rPr>
          <w:t>PŁOCKU</w:t>
        </w:r>
        <w:r w:rsidR="003B3C79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</w:t>
        </w:r>
        <w:proofErr w:type="gramEnd"/>
        <w:r w:rsidR="003B3C79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</w:t>
        </w:r>
        <w:r w:rsidR="003B3C79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Pr="003B3C79">
          <w:rPr>
            <w:rFonts w:ascii="Arial" w:hAnsi="Arial" w:cs="Arial"/>
          </w:rPr>
          <w:fldChar w:fldCharType="begin"/>
        </w:r>
        <w:r w:rsidR="003B3C79" w:rsidRPr="003B3C79">
          <w:rPr>
            <w:rFonts w:ascii="Arial" w:hAnsi="Arial" w:cs="Arial"/>
          </w:rPr>
          <w:instrText xml:space="preserve"> PAGE    \* MERGEFORMAT </w:instrText>
        </w:r>
        <w:r w:rsidRPr="003B3C79">
          <w:rPr>
            <w:rFonts w:ascii="Arial" w:hAnsi="Arial" w:cs="Arial"/>
          </w:rPr>
          <w:fldChar w:fldCharType="separate"/>
        </w:r>
        <w:r w:rsidR="00157B0C">
          <w:rPr>
            <w:rFonts w:ascii="Arial" w:hAnsi="Arial" w:cs="Arial"/>
            <w:noProof/>
          </w:rPr>
          <w:t>1</w:t>
        </w:r>
        <w:r w:rsidRPr="003B3C79">
          <w:rPr>
            <w:rFonts w:ascii="Arial" w:hAnsi="Arial" w:cs="Arial"/>
          </w:rPr>
          <w:fldChar w:fldCharType="end"/>
        </w:r>
      </w:p>
    </w:sdtContent>
  </w:sdt>
  <w:p w:rsidR="003B3C79" w:rsidRDefault="003B3C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C" w:rsidRDefault="00EA48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2D" w:rsidRDefault="00CC682D" w:rsidP="003B3C79">
      <w:r>
        <w:separator/>
      </w:r>
    </w:p>
  </w:footnote>
  <w:footnote w:type="continuationSeparator" w:id="0">
    <w:p w:rsidR="00CC682D" w:rsidRDefault="00CC682D" w:rsidP="003B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C" w:rsidRDefault="00EA48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79" w:rsidRDefault="003B3C79" w:rsidP="00356D78">
    <w:pPr>
      <w:pStyle w:val="Nagwek"/>
      <w:tabs>
        <w:tab w:val="clear" w:pos="9072"/>
        <w:tab w:val="right" w:pos="14034"/>
      </w:tabs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-582930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3B3C79" w:rsidRDefault="003B3C79" w:rsidP="003B3C79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3B3C79" w:rsidRDefault="001E0DE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05pt;margin-top:12.95pt;width:700.2pt;height:.4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6C" w:rsidRDefault="00EA48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6FCD"/>
    <w:rsid w:val="0003046E"/>
    <w:rsid w:val="0005128C"/>
    <w:rsid w:val="000F153E"/>
    <w:rsid w:val="00157B0C"/>
    <w:rsid w:val="001E0DEE"/>
    <w:rsid w:val="002B4755"/>
    <w:rsid w:val="00347591"/>
    <w:rsid w:val="00356D78"/>
    <w:rsid w:val="003B3C79"/>
    <w:rsid w:val="003B68F6"/>
    <w:rsid w:val="00400D30"/>
    <w:rsid w:val="00556330"/>
    <w:rsid w:val="005D5F67"/>
    <w:rsid w:val="006A3950"/>
    <w:rsid w:val="0070726B"/>
    <w:rsid w:val="00713E4A"/>
    <w:rsid w:val="0073106A"/>
    <w:rsid w:val="00791F57"/>
    <w:rsid w:val="00992ED9"/>
    <w:rsid w:val="00BB03BC"/>
    <w:rsid w:val="00C11D1C"/>
    <w:rsid w:val="00C43420"/>
    <w:rsid w:val="00CC682D"/>
    <w:rsid w:val="00DC77B1"/>
    <w:rsid w:val="00E76FCD"/>
    <w:rsid w:val="00EA486C"/>
    <w:rsid w:val="00EA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E76FCD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E76FCD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semiHidden/>
    <w:unhideWhenUsed/>
    <w:qFormat/>
    <w:rsid w:val="00E76FCD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semiHidden/>
    <w:unhideWhenUsed/>
    <w:qFormat/>
    <w:rsid w:val="00E76FCD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6FCD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6FCD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6FCD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6FCD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6FCD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FCD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76FC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76FCD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6F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6F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6FCD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76FC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76FC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76FCD"/>
  </w:style>
  <w:style w:type="character" w:customStyle="1" w:styleId="TekstkomentarzaZnak">
    <w:name w:val="Tekst komentarza Znak"/>
    <w:basedOn w:val="Domylnaczcionkaakapitu"/>
    <w:link w:val="Tekstkomentarza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76FC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76FCD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E76FCD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6FCD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FCD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6FCD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6FCD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F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6FCD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6FCD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6F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76FCD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6FC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76F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6FCD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6FC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76FC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76F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E76FC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E76FC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E76FCD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76FCD"/>
    <w:rPr>
      <w:rFonts w:ascii="Tahoma" w:eastAsia="Times New Roman" w:hAnsi="Tahoma" w:cs="Tahoma" w:hint="default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E76FCD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semiHidden/>
    <w:unhideWhenUsed/>
    <w:qFormat/>
    <w:rsid w:val="00E76FCD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semiHidden/>
    <w:unhideWhenUsed/>
    <w:qFormat/>
    <w:rsid w:val="00E76FCD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semiHidden/>
    <w:unhideWhenUsed/>
    <w:qFormat/>
    <w:rsid w:val="00E76FCD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6FCD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6FCD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6FCD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6FCD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6FCD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FCD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76FC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76FCD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6F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6F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6FCD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76FC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76FC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76FCD"/>
  </w:style>
  <w:style w:type="character" w:customStyle="1" w:styleId="TekstkomentarzaZnak">
    <w:name w:val="Tekst komentarza Znak"/>
    <w:basedOn w:val="Domylnaczcionkaakapitu"/>
    <w:link w:val="Tekstkomentarza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E76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6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E76FC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6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E76FCD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E76FCD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6FCD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FCD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6FCD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6FCD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6F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6FCD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76FCD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76F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76FCD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76F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76FC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76F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6FCD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6FC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76FCD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E76F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E76FC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76FCD"/>
    <w:rPr>
      <w:rFonts w:ascii="Times New Roman" w:eastAsia="Times New Roman" w:hAnsi="Times New Roman" w:cs="Times New Roman" w:hint="default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E76FC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E76FCD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E76FCD"/>
    <w:rPr>
      <w:rFonts w:ascii="Tahoma" w:eastAsia="Times New Roman" w:hAnsi="Tahoma" w:cs="Tahoma" w:hint="default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Samoraj</dc:creator>
  <cp:lastModifiedBy>Edward Jabłoński</cp:lastModifiedBy>
  <cp:revision>13</cp:revision>
  <cp:lastPrinted>2018-02-16T12:23:00Z</cp:lastPrinted>
  <dcterms:created xsi:type="dcterms:W3CDTF">2018-02-01T11:53:00Z</dcterms:created>
  <dcterms:modified xsi:type="dcterms:W3CDTF">2018-02-16T12:24:00Z</dcterms:modified>
</cp:coreProperties>
</file>